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18 108 vom 17. Oktober 2018</w:t>
      </w:r>
    </w:p>
    <w:p>
      <w:r>
        <w:t>BL Gerichte, 2018-10-17, DE</w:t>
      </w:r>
    </w:p>
    <w:p>
      <w:r>
        <w:rPr>
          <w:b/>
        </w:rPr>
        <w:t xml:space="preserve">Quelle: </w:t>
      </w:r>
      <w:r>
        <w:t>https://mcp.opencaselaw.ch/entscheid/bl_gerichte_810 18 108</w:t>
      </w:r>
    </w:p>
    <w:p>
      <w:r>
        <w:t>FR: BL_GERICHTE 810 18 108 du 17 octobre 2018</w:t>
      </w:r>
    </w:p>
    <w:p>
      <w:r>
        <w:t>IT: BL_GERICHTE 810 18 108 del 17 ottobre 2018</w:t>
      </w:r>
    </w:p>
    <w:p>
      <w:pPr>
        <w:pStyle w:val="Heading2"/>
      </w:pPr>
      <w:r>
        <w:t>Regeste</w:t>
      </w:r>
    </w:p>
    <w:p>
      <w:r>
        <w:t>Kündigung während der Probezeit</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Da weder ein Ausschlusstatbestand nach § 44 VPO noch ein spezialgesetzlicher Ausschlusstatbestand vorliegen, ist die Zuständigkeit des Kantonsgerichts zur Beurteilung der vorliegenden Beschwerde gegeben. Gemäss § 47 Abs. 1 lit. a VPO ist zur Beschwerde befugt, wer durch die angefochtene Verfügung oder den angefochtenen Entscheid berührt ist und ein schutzwürdiges Interesse an dessen Änderung oder Aufhebung hat. Die Beschwerdeführerin als Adressatin des angefochtenen Entscheids weist ohne weiteres ein schutzwürdiges Interesse an dessen Aufhebung auf. Da auch die übrigen formellen Voraussetzungen gemäss den §§ 43 ff. VPO erfüllt sind, ist auf die vorliegende Beschwerde einzutreten.</w:t>
      </w:r>
    </w:p>
    <w:p>
      <w:r>
        <w:rPr>
          <w:b/>
        </w:rPr>
        <w:t>E. 2</w:t>
      </w:r>
    </w:p>
    <w:p>
      <w:r>
        <w:t>Bei der Beurteilung der vorliegenden verwaltungsgerichtlichen Beschwerde ist die Kognition des Kantonsgerichts gemäss § 45 Abs. 1 lit. a und b VPO darauf beschränkt, den angefochtenen Entscheid hinsichtlich allfälliger Rechtsverletzungen zu überprüfen bzw. zu prüfen, ob der Regierungsrat ein allfälliges Ermessen rechtsfehlerhaft ausgeübt hat. Im Weiteren kann beurteilt werden, ob dieser den Sachverhalt unrichtig oder unvollständig festgestellt hat. Die Überprüfung der Angemessenheit dagegen ist dem Kantonsgericht verwehrt (§ 45 Abs. 1 lit. c VPO e contrario).</w:t>
      </w:r>
    </w:p>
    <w:p>
      <w:r>
        <w:rPr>
          <w:b/>
        </w:rPr>
        <w:t>E. 3</w:t>
      </w:r>
    </w:p>
    <w:p>
      <w:r>
        <w:t>Es werden keine Verfahrenskosten erhoben. Der geleistete Kostenvorschuss in der Höhe von Fr. 1'800.-- wird der Beschwerdeführerin zurückerstattet.</w:t>
      </w:r>
    </w:p>
    <w:p>
      <w:r>
        <w:rPr>
          <w:b/>
        </w:rPr>
        <w:t>E. 4</w:t>
      </w:r>
    </w:p>
    <w:p>
      <w:r>
        <w:t>Der Regierungsrat und der Schulrat B.____ haben der Beschwerdeführerin je zur Hälfte eine Parteientschädigung in der Höhe von Fr. 6'449.60 (inkl. Auslagen und 7.7% MWST), also je Fr. 3'224.80, auszurichten. Vizepräsident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